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52A3" w14:textId="77777777" w:rsidR="009E52FB" w:rsidRDefault="00E13567" w:rsidP="00D85DF4">
      <w:pPr>
        <w:pStyle w:val="ListParagraph"/>
        <w:numPr>
          <w:ilvl w:val="0"/>
          <w:numId w:val="1"/>
        </w:numPr>
        <w:tabs>
          <w:tab w:val="left" w:pos="426"/>
        </w:tabs>
        <w:ind w:left="426" w:right="3" w:hanging="426"/>
        <w:jc w:val="both"/>
        <w:rPr>
          <w:i/>
        </w:rPr>
      </w:pPr>
      <w:r>
        <w:t xml:space="preserve">On 28 </w:t>
      </w:r>
      <w:r>
        <w:rPr>
          <w:spacing w:val="-4"/>
        </w:rPr>
        <w:t xml:space="preserve">November 2019, </w:t>
      </w:r>
      <w:r>
        <w:rPr>
          <w:spacing w:val="-3"/>
        </w:rPr>
        <w:t xml:space="preserve">the </w:t>
      </w:r>
      <w:r>
        <w:rPr>
          <w:spacing w:val="-4"/>
        </w:rPr>
        <w:t xml:space="preserve">Health, Communities, Disability Services </w:t>
      </w:r>
      <w:r>
        <w:t xml:space="preserve">and </w:t>
      </w:r>
      <w:r>
        <w:rPr>
          <w:spacing w:val="-4"/>
        </w:rPr>
        <w:t xml:space="preserve">Domestic </w:t>
      </w:r>
      <w:r>
        <w:rPr>
          <w:spacing w:val="-3"/>
        </w:rPr>
        <w:t xml:space="preserve">and </w:t>
      </w:r>
      <w:r>
        <w:rPr>
          <w:spacing w:val="-4"/>
        </w:rPr>
        <w:t xml:space="preserve">Family </w:t>
      </w:r>
      <w:r>
        <w:rPr>
          <w:spacing w:val="-3"/>
        </w:rPr>
        <w:t xml:space="preserve">Violence </w:t>
      </w:r>
      <w:r>
        <w:rPr>
          <w:spacing w:val="-4"/>
        </w:rPr>
        <w:t xml:space="preserve">Prevention Committee published: Report </w:t>
      </w:r>
      <w:r>
        <w:rPr>
          <w:spacing w:val="-3"/>
        </w:rPr>
        <w:t xml:space="preserve">No. 30, </w:t>
      </w:r>
      <w:r>
        <w:rPr>
          <w:spacing w:val="-4"/>
        </w:rPr>
        <w:t xml:space="preserve">November </w:t>
      </w:r>
      <w:r>
        <w:rPr>
          <w:spacing w:val="-3"/>
        </w:rPr>
        <w:t xml:space="preserve">2019 </w:t>
      </w:r>
      <w:r>
        <w:t xml:space="preserve">– </w:t>
      </w:r>
      <w:r>
        <w:rPr>
          <w:i/>
          <w:spacing w:val="-4"/>
        </w:rPr>
        <w:t xml:space="preserve">Investigation </w:t>
      </w:r>
      <w:r>
        <w:rPr>
          <w:i/>
          <w:spacing w:val="-3"/>
        </w:rPr>
        <w:t xml:space="preserve">of the closure of </w:t>
      </w:r>
      <w:r>
        <w:rPr>
          <w:i/>
          <w:spacing w:val="-4"/>
        </w:rPr>
        <w:t xml:space="preserve">Earle Haven residential </w:t>
      </w:r>
      <w:r>
        <w:rPr>
          <w:i/>
          <w:spacing w:val="-3"/>
        </w:rPr>
        <w:t xml:space="preserve">aged care </w:t>
      </w:r>
      <w:r>
        <w:rPr>
          <w:i/>
          <w:spacing w:val="-4"/>
        </w:rPr>
        <w:t xml:space="preserve">facility </w:t>
      </w:r>
      <w:r>
        <w:rPr>
          <w:i/>
          <w:spacing w:val="-3"/>
        </w:rPr>
        <w:t xml:space="preserve">at </w:t>
      </w:r>
      <w:r>
        <w:rPr>
          <w:i/>
          <w:spacing w:val="-4"/>
        </w:rPr>
        <w:t xml:space="preserve">Nerang (Inquiry </w:t>
      </w:r>
      <w:r>
        <w:rPr>
          <w:i/>
          <w:spacing w:val="-3"/>
        </w:rPr>
        <w:t xml:space="preserve">into aged </w:t>
      </w:r>
      <w:r>
        <w:rPr>
          <w:i/>
          <w:spacing w:val="-4"/>
        </w:rPr>
        <w:t>care, end-of-life</w:t>
      </w:r>
      <w:r>
        <w:rPr>
          <w:i/>
          <w:spacing w:val="53"/>
        </w:rPr>
        <w:t xml:space="preserve"> </w:t>
      </w:r>
      <w:r>
        <w:rPr>
          <w:i/>
        </w:rPr>
        <w:t xml:space="preserve">and </w:t>
      </w:r>
      <w:r>
        <w:rPr>
          <w:i/>
          <w:spacing w:val="-4"/>
        </w:rPr>
        <w:t xml:space="preserve">palliative </w:t>
      </w:r>
      <w:r>
        <w:rPr>
          <w:i/>
          <w:spacing w:val="-3"/>
        </w:rPr>
        <w:t xml:space="preserve">care </w:t>
      </w:r>
      <w:r>
        <w:rPr>
          <w:i/>
        </w:rPr>
        <w:t xml:space="preserve">and </w:t>
      </w:r>
      <w:r>
        <w:rPr>
          <w:i/>
          <w:spacing w:val="-4"/>
        </w:rPr>
        <w:t xml:space="preserve">voluntary assisted dying) </w:t>
      </w:r>
      <w:r>
        <w:rPr>
          <w:spacing w:val="-4"/>
        </w:rPr>
        <w:t>(the Committee</w:t>
      </w:r>
      <w:r>
        <w:rPr>
          <w:spacing w:val="-32"/>
        </w:rPr>
        <w:t xml:space="preserve"> </w:t>
      </w:r>
      <w:r>
        <w:rPr>
          <w:spacing w:val="-4"/>
        </w:rPr>
        <w:t>Report)</w:t>
      </w:r>
      <w:r>
        <w:rPr>
          <w:i/>
          <w:spacing w:val="-4"/>
        </w:rPr>
        <w:t>.</w:t>
      </w:r>
    </w:p>
    <w:p w14:paraId="136E52A4" w14:textId="2F9D2E23" w:rsidR="009E52FB" w:rsidRDefault="00E13567" w:rsidP="00D85DF4">
      <w:pPr>
        <w:pStyle w:val="ListParagraph"/>
        <w:numPr>
          <w:ilvl w:val="0"/>
          <w:numId w:val="1"/>
        </w:numPr>
        <w:tabs>
          <w:tab w:val="left" w:pos="426"/>
        </w:tabs>
        <w:spacing w:before="199"/>
        <w:ind w:left="426" w:right="3" w:hanging="426"/>
        <w:jc w:val="both"/>
      </w:pPr>
      <w:r>
        <w:t xml:space="preserve">The </w:t>
      </w:r>
      <w:r>
        <w:rPr>
          <w:spacing w:val="-4"/>
        </w:rPr>
        <w:t xml:space="preserve">Queensland Government response supports </w:t>
      </w:r>
      <w:r>
        <w:rPr>
          <w:spacing w:val="-3"/>
        </w:rPr>
        <w:t xml:space="preserve">all </w:t>
      </w:r>
      <w:r>
        <w:t xml:space="preserve">12 </w:t>
      </w:r>
      <w:r>
        <w:rPr>
          <w:spacing w:val="-4"/>
        </w:rPr>
        <w:t xml:space="preserve">recommendations </w:t>
      </w:r>
      <w:r>
        <w:rPr>
          <w:spacing w:val="-3"/>
        </w:rPr>
        <w:t xml:space="preserve">made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Committee Report. Recommendation </w:t>
      </w:r>
      <w:r>
        <w:t xml:space="preserve">1 is </w:t>
      </w:r>
      <w:r>
        <w:rPr>
          <w:spacing w:val="-4"/>
        </w:rPr>
        <w:t xml:space="preserve">supported, however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Government notes that </w:t>
      </w:r>
      <w:r>
        <w:rPr>
          <w:spacing w:val="-3"/>
        </w:rPr>
        <w:t xml:space="preserve">the </w:t>
      </w:r>
      <w:r>
        <w:rPr>
          <w:spacing w:val="-4"/>
        </w:rPr>
        <w:t xml:space="preserve">Commonwealth </w:t>
      </w:r>
      <w:r>
        <w:t xml:space="preserve">has </w:t>
      </w:r>
      <w:r>
        <w:rPr>
          <w:spacing w:val="-3"/>
        </w:rPr>
        <w:t xml:space="preserve">sole </w:t>
      </w:r>
      <w:r>
        <w:rPr>
          <w:spacing w:val="-4"/>
        </w:rPr>
        <w:t xml:space="preserve">responsibility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regulation </w:t>
      </w:r>
      <w:r>
        <w:rPr>
          <w:spacing w:val="-3"/>
        </w:rPr>
        <w:t xml:space="preserve">of </w:t>
      </w:r>
      <w:r>
        <w:rPr>
          <w:spacing w:val="-4"/>
        </w:rPr>
        <w:t xml:space="preserve">approved providers. </w:t>
      </w:r>
      <w:r>
        <w:t xml:space="preserve">If an </w:t>
      </w:r>
      <w:r>
        <w:rPr>
          <w:spacing w:val="-4"/>
        </w:rPr>
        <w:t>approved</w:t>
      </w:r>
      <w:r>
        <w:rPr>
          <w:spacing w:val="53"/>
        </w:rPr>
        <w:t xml:space="preserve"> </w:t>
      </w:r>
      <w:r>
        <w:rPr>
          <w:spacing w:val="-4"/>
        </w:rPr>
        <w:t>provider’s</w:t>
      </w:r>
      <w:r>
        <w:rPr>
          <w:spacing w:val="-12"/>
        </w:rPr>
        <w:t xml:space="preserve"> </w:t>
      </w:r>
      <w:r>
        <w:rPr>
          <w:spacing w:val="-3"/>
        </w:rPr>
        <w:t>status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4"/>
        </w:rPr>
        <w:t>revoked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3"/>
        </w:rPr>
        <w:t>they</w:t>
      </w:r>
      <w:r>
        <w:rPr>
          <w:spacing w:val="-9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unable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operate,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Queensland</w:t>
      </w:r>
      <w:r>
        <w:rPr>
          <w:spacing w:val="-12"/>
        </w:rPr>
        <w:t xml:space="preserve"> </w:t>
      </w:r>
      <w:r>
        <w:rPr>
          <w:spacing w:val="-4"/>
        </w:rPr>
        <w:t>Government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rPr>
          <w:spacing w:val="-3"/>
        </w:rPr>
        <w:t>not</w:t>
      </w:r>
      <w:r>
        <w:rPr>
          <w:spacing w:val="-7"/>
        </w:rPr>
        <w:t xml:space="preserve"> </w:t>
      </w:r>
      <w:r>
        <w:rPr>
          <w:spacing w:val="-3"/>
        </w:rPr>
        <w:t xml:space="preserve">be able </w:t>
      </w:r>
      <w:r>
        <w:t xml:space="preserve">to </w:t>
      </w:r>
      <w:r>
        <w:rPr>
          <w:spacing w:val="-3"/>
        </w:rPr>
        <w:t xml:space="preserve">assist with </w:t>
      </w:r>
      <w:r>
        <w:t xml:space="preserve">the </w:t>
      </w:r>
      <w:r>
        <w:rPr>
          <w:spacing w:val="-3"/>
        </w:rPr>
        <w:t xml:space="preserve">return of </w:t>
      </w:r>
      <w:r>
        <w:rPr>
          <w:spacing w:val="-4"/>
        </w:rPr>
        <w:t xml:space="preserve">residents, </w:t>
      </w:r>
      <w:r>
        <w:rPr>
          <w:spacing w:val="-3"/>
        </w:rPr>
        <w:t xml:space="preserve">nor </w:t>
      </w:r>
      <w:r>
        <w:t xml:space="preserve">is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Government positioned </w:t>
      </w:r>
      <w:r>
        <w:t xml:space="preserve">to </w:t>
      </w:r>
      <w:r>
        <w:rPr>
          <w:spacing w:val="-3"/>
        </w:rPr>
        <w:t xml:space="preserve">act </w:t>
      </w:r>
      <w:r>
        <w:t xml:space="preserve">in an </w:t>
      </w:r>
      <w:r>
        <w:rPr>
          <w:spacing w:val="-4"/>
        </w:rPr>
        <w:t xml:space="preserve">interim </w:t>
      </w:r>
      <w:r>
        <w:rPr>
          <w:spacing w:val="-3"/>
        </w:rPr>
        <w:t xml:space="preserve">or </w:t>
      </w:r>
      <w:r>
        <w:rPr>
          <w:spacing w:val="-4"/>
        </w:rPr>
        <w:t>long-term</w:t>
      </w:r>
      <w:r>
        <w:rPr>
          <w:spacing w:val="-13"/>
        </w:rPr>
        <w:t xml:space="preserve"> </w:t>
      </w:r>
      <w:r>
        <w:rPr>
          <w:spacing w:val="-4"/>
        </w:rPr>
        <w:t>capacity.</w:t>
      </w:r>
    </w:p>
    <w:p w14:paraId="136E52A6" w14:textId="77777777" w:rsidR="009E52FB" w:rsidRDefault="00E13567" w:rsidP="00D85DF4">
      <w:pPr>
        <w:pStyle w:val="ListParagraph"/>
        <w:numPr>
          <w:ilvl w:val="0"/>
          <w:numId w:val="1"/>
        </w:numPr>
        <w:tabs>
          <w:tab w:val="left" w:pos="426"/>
        </w:tabs>
        <w:spacing w:before="198"/>
        <w:ind w:left="426" w:right="3" w:hanging="426"/>
        <w:jc w:val="both"/>
      </w:pPr>
      <w:r>
        <w:t>On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rPr>
          <w:spacing w:val="-4"/>
        </w:rPr>
        <w:t>November</w:t>
      </w:r>
      <w:r>
        <w:rPr>
          <w:spacing w:val="-11"/>
        </w:rPr>
        <w:t xml:space="preserve"> </w:t>
      </w:r>
      <w:r>
        <w:rPr>
          <w:spacing w:val="-4"/>
        </w:rPr>
        <w:t>2019,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Federal</w:t>
      </w:r>
      <w:r>
        <w:rPr>
          <w:spacing w:val="-13"/>
        </w:rPr>
        <w:t xml:space="preserve"> </w:t>
      </w:r>
      <w:r>
        <w:rPr>
          <w:spacing w:val="-4"/>
        </w:rPr>
        <w:t>Minister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Aged</w:t>
      </w:r>
      <w:r>
        <w:rPr>
          <w:spacing w:val="-10"/>
        </w:rPr>
        <w:t xml:space="preserve"> </w:t>
      </w:r>
      <w:r>
        <w:rPr>
          <w:spacing w:val="-3"/>
        </w:rPr>
        <w:t>Care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Senior</w:t>
      </w:r>
      <w:r>
        <w:rPr>
          <w:spacing w:val="-11"/>
        </w:rPr>
        <w:t xml:space="preserve"> </w:t>
      </w:r>
      <w:r>
        <w:rPr>
          <w:spacing w:val="-4"/>
        </w:rPr>
        <w:t>Australians</w:t>
      </w:r>
      <w:r>
        <w:rPr>
          <w:spacing w:val="-12"/>
        </w:rPr>
        <w:t xml:space="preserve"> </w:t>
      </w:r>
      <w:r>
        <w:rPr>
          <w:spacing w:val="-3"/>
        </w:rPr>
        <w:t>publicly</w:t>
      </w:r>
      <w:r>
        <w:rPr>
          <w:spacing w:val="-14"/>
        </w:rPr>
        <w:t xml:space="preserve"> </w:t>
      </w:r>
      <w:r>
        <w:rPr>
          <w:spacing w:val="-4"/>
        </w:rPr>
        <w:t xml:space="preserve">released </w:t>
      </w:r>
      <w:r>
        <w:t xml:space="preserve">the </w:t>
      </w:r>
      <w:r>
        <w:rPr>
          <w:spacing w:val="-4"/>
        </w:rPr>
        <w:t xml:space="preserve">Commonwealth Independent </w:t>
      </w:r>
      <w:r>
        <w:rPr>
          <w:spacing w:val="-3"/>
        </w:rPr>
        <w:t xml:space="preserve">Inquiry </w:t>
      </w:r>
      <w:r>
        <w:rPr>
          <w:spacing w:val="-4"/>
        </w:rPr>
        <w:t xml:space="preserve">Report </w:t>
      </w:r>
      <w:r>
        <w:t xml:space="preserve">– </w:t>
      </w:r>
      <w:r>
        <w:rPr>
          <w:i/>
          <w:spacing w:val="-3"/>
        </w:rPr>
        <w:t xml:space="preserve">Inquiry into </w:t>
      </w:r>
      <w:r>
        <w:rPr>
          <w:i/>
          <w:spacing w:val="-4"/>
        </w:rPr>
        <w:t xml:space="preserve">events </w:t>
      </w:r>
      <w:r>
        <w:rPr>
          <w:i/>
          <w:spacing w:val="-3"/>
        </w:rPr>
        <w:t xml:space="preserve">at </w:t>
      </w:r>
      <w:r>
        <w:rPr>
          <w:i/>
          <w:spacing w:val="-4"/>
        </w:rPr>
        <w:t xml:space="preserve">Earle </w:t>
      </w:r>
      <w:r>
        <w:rPr>
          <w:i/>
          <w:spacing w:val="-3"/>
        </w:rPr>
        <w:t xml:space="preserve">Haven </w:t>
      </w:r>
      <w:r>
        <w:rPr>
          <w:spacing w:val="-3"/>
        </w:rPr>
        <w:t xml:space="preserve">(the </w:t>
      </w:r>
      <w:r>
        <w:rPr>
          <w:spacing w:val="-4"/>
        </w:rPr>
        <w:t xml:space="preserve">Carnell Report), containing </w:t>
      </w:r>
      <w:r>
        <w:t xml:space="preserve">23 </w:t>
      </w:r>
      <w:r>
        <w:rPr>
          <w:spacing w:val="-4"/>
        </w:rPr>
        <w:t xml:space="preserve">recommendations that were </w:t>
      </w:r>
      <w:r>
        <w:rPr>
          <w:spacing w:val="-3"/>
        </w:rPr>
        <w:t xml:space="preserve">all </w:t>
      </w:r>
      <w:r>
        <w:rPr>
          <w:spacing w:val="-4"/>
        </w:rPr>
        <w:t xml:space="preserve">accepted </w:t>
      </w:r>
      <w:r>
        <w:t xml:space="preserve">in </w:t>
      </w:r>
      <w:r>
        <w:rPr>
          <w:spacing w:val="-3"/>
        </w:rPr>
        <w:t xml:space="preserve">full </w:t>
      </w:r>
      <w:r>
        <w:t xml:space="preserve">by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Commonwealth.</w:t>
      </w:r>
    </w:p>
    <w:p w14:paraId="136E52A7" w14:textId="054C7207" w:rsidR="009E52FB" w:rsidRDefault="00E13567" w:rsidP="00D85DF4">
      <w:pPr>
        <w:pStyle w:val="ListParagraph"/>
        <w:numPr>
          <w:ilvl w:val="0"/>
          <w:numId w:val="1"/>
        </w:numPr>
        <w:tabs>
          <w:tab w:val="left" w:pos="426"/>
        </w:tabs>
        <w:spacing w:before="201"/>
        <w:ind w:left="426" w:right="3" w:hanging="426"/>
        <w:jc w:val="both"/>
      </w:pPr>
      <w:r>
        <w:t xml:space="preserve">The </w:t>
      </w:r>
      <w:r>
        <w:rPr>
          <w:spacing w:val="-4"/>
        </w:rPr>
        <w:t xml:space="preserve">Queensland Government response </w:t>
      </w:r>
      <w:r>
        <w:rPr>
          <w:spacing w:val="-3"/>
        </w:rPr>
        <w:t xml:space="preserve">supports </w:t>
      </w:r>
      <w:r>
        <w:rPr>
          <w:spacing w:val="-4"/>
        </w:rPr>
        <w:t xml:space="preserve">Recommendations </w:t>
      </w:r>
      <w:r>
        <w:rPr>
          <w:spacing w:val="-3"/>
        </w:rPr>
        <w:t xml:space="preserve">1-19 </w:t>
      </w:r>
      <w:r>
        <w:t xml:space="preserve">and </w:t>
      </w:r>
      <w:r>
        <w:rPr>
          <w:spacing w:val="-3"/>
        </w:rPr>
        <w:t xml:space="preserve">21-22 </w:t>
      </w:r>
      <w:r>
        <w:t xml:space="preserve">in </w:t>
      </w:r>
      <w:r>
        <w:rPr>
          <w:spacing w:val="-3"/>
        </w:rPr>
        <w:t xml:space="preserve">full. The </w:t>
      </w:r>
      <w:r>
        <w:rPr>
          <w:spacing w:val="-4"/>
        </w:rPr>
        <w:t>Queensland</w:t>
      </w:r>
      <w:r>
        <w:rPr>
          <w:spacing w:val="53"/>
        </w:rPr>
        <w:t xml:space="preserve"> </w:t>
      </w:r>
      <w:r>
        <w:rPr>
          <w:spacing w:val="-4"/>
        </w:rPr>
        <w:t xml:space="preserve">Government response </w:t>
      </w:r>
      <w:r>
        <w:rPr>
          <w:spacing w:val="-3"/>
        </w:rPr>
        <w:t xml:space="preserve">does not </w:t>
      </w:r>
      <w:r>
        <w:rPr>
          <w:spacing w:val="-4"/>
        </w:rPr>
        <w:t xml:space="preserve">support Recommendation </w:t>
      </w:r>
      <w:r>
        <w:t xml:space="preserve">20 </w:t>
      </w:r>
      <w:r>
        <w:rPr>
          <w:spacing w:val="-3"/>
        </w:rPr>
        <w:t xml:space="preserve">and </w:t>
      </w:r>
      <w:r>
        <w:rPr>
          <w:spacing w:val="-4"/>
        </w:rPr>
        <w:t xml:space="preserve">supports Recommendation </w:t>
      </w:r>
      <w:r>
        <w:t xml:space="preserve">23 in </w:t>
      </w:r>
      <w:r>
        <w:rPr>
          <w:spacing w:val="-4"/>
        </w:rPr>
        <w:t xml:space="preserve">principle. </w:t>
      </w:r>
      <w:r>
        <w:t xml:space="preserve">The </w:t>
      </w:r>
      <w:r>
        <w:rPr>
          <w:spacing w:val="-4"/>
        </w:rPr>
        <w:t xml:space="preserve">Queensland Government </w:t>
      </w:r>
      <w:r w:rsidR="00C606BD">
        <w:rPr>
          <w:spacing w:val="-4"/>
        </w:rPr>
        <w:t xml:space="preserve">response </w:t>
      </w:r>
      <w:r>
        <w:rPr>
          <w:spacing w:val="-4"/>
        </w:rPr>
        <w:t xml:space="preserve">notes </w:t>
      </w:r>
      <w:r>
        <w:rPr>
          <w:spacing w:val="-3"/>
        </w:rPr>
        <w:t xml:space="preserve">that it </w:t>
      </w:r>
      <w:r>
        <w:t xml:space="preserve">has a </w:t>
      </w:r>
      <w:r>
        <w:rPr>
          <w:spacing w:val="-3"/>
        </w:rPr>
        <w:t xml:space="preserve">role </w:t>
      </w:r>
      <w:r>
        <w:t xml:space="preserve">in </w:t>
      </w:r>
      <w:r>
        <w:rPr>
          <w:spacing w:val="-4"/>
        </w:rPr>
        <w:t xml:space="preserve">working collaboratively </w:t>
      </w:r>
      <w:r>
        <w:rPr>
          <w:spacing w:val="-3"/>
        </w:rPr>
        <w:t xml:space="preserve">with the </w:t>
      </w:r>
      <w:r>
        <w:rPr>
          <w:spacing w:val="-4"/>
        </w:rPr>
        <w:t xml:space="preserve">Commonwealth </w:t>
      </w:r>
      <w:r>
        <w:t xml:space="preserve">to </w:t>
      </w:r>
      <w:r>
        <w:rPr>
          <w:spacing w:val="-3"/>
        </w:rPr>
        <w:t xml:space="preserve">develop plans </w:t>
      </w:r>
      <w:r>
        <w:t xml:space="preserve">to </w:t>
      </w:r>
      <w:r>
        <w:rPr>
          <w:spacing w:val="-4"/>
        </w:rPr>
        <w:t xml:space="preserve">address potential </w:t>
      </w:r>
      <w:r>
        <w:rPr>
          <w:spacing w:val="-3"/>
        </w:rPr>
        <w:t xml:space="preserve">risks </w:t>
      </w:r>
      <w:r>
        <w:rPr>
          <w:spacing w:val="-4"/>
        </w:rPr>
        <w:t xml:space="preserve">associated </w:t>
      </w:r>
      <w:r>
        <w:rPr>
          <w:spacing w:val="-3"/>
        </w:rPr>
        <w:t xml:space="preserve">with </w:t>
      </w:r>
      <w:r>
        <w:t xml:space="preserve">the </w:t>
      </w:r>
      <w:r>
        <w:rPr>
          <w:spacing w:val="-4"/>
        </w:rPr>
        <w:t xml:space="preserve">imminent collapse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residential </w:t>
      </w:r>
      <w:r>
        <w:rPr>
          <w:spacing w:val="-3"/>
        </w:rPr>
        <w:t xml:space="preserve">aged </w:t>
      </w:r>
      <w:r>
        <w:t>care</w:t>
      </w:r>
      <w:r>
        <w:rPr>
          <w:spacing w:val="-42"/>
        </w:rPr>
        <w:t xml:space="preserve"> </w:t>
      </w:r>
      <w:r>
        <w:rPr>
          <w:spacing w:val="-4"/>
        </w:rPr>
        <w:t>facility.</w:t>
      </w:r>
    </w:p>
    <w:p w14:paraId="136E52A9" w14:textId="4D1AAF07" w:rsidR="009E52FB" w:rsidRDefault="00E13567" w:rsidP="00D85DF4">
      <w:pPr>
        <w:pStyle w:val="ListParagraph"/>
        <w:numPr>
          <w:ilvl w:val="0"/>
          <w:numId w:val="1"/>
        </w:numPr>
        <w:tabs>
          <w:tab w:val="left" w:pos="426"/>
        </w:tabs>
        <w:spacing w:before="201"/>
        <w:ind w:left="426" w:right="3" w:hanging="426"/>
        <w:jc w:val="both"/>
      </w:pPr>
      <w:r w:rsidRPr="00C606BD">
        <w:rPr>
          <w:u w:val="single"/>
        </w:rPr>
        <w:t>Cabinet</w:t>
      </w:r>
      <w:r w:rsidRPr="00C606BD">
        <w:rPr>
          <w:spacing w:val="1"/>
          <w:u w:val="single"/>
        </w:rPr>
        <w:t xml:space="preserve"> </w:t>
      </w:r>
      <w:r w:rsidRPr="00C606BD">
        <w:rPr>
          <w:u w:val="single"/>
        </w:rPr>
        <w:t>approved</w:t>
      </w:r>
      <w:r w:rsidR="00C606BD">
        <w:t xml:space="preserve"> t</w:t>
      </w:r>
      <w:r>
        <w:t>he</w:t>
      </w:r>
      <w:r w:rsidRPr="00C606BD">
        <w:rPr>
          <w:spacing w:val="-18"/>
        </w:rPr>
        <w:t xml:space="preserve"> </w:t>
      </w:r>
      <w:r>
        <w:t>Queensland</w:t>
      </w:r>
      <w:r w:rsidRPr="00C606BD">
        <w:rPr>
          <w:spacing w:val="-18"/>
        </w:rPr>
        <w:t xml:space="preserve"> </w:t>
      </w:r>
      <w:r>
        <w:t>Government</w:t>
      </w:r>
      <w:r w:rsidRPr="00C606BD">
        <w:rPr>
          <w:spacing w:val="-17"/>
        </w:rPr>
        <w:t xml:space="preserve"> </w:t>
      </w:r>
      <w:r>
        <w:t>response</w:t>
      </w:r>
      <w:r w:rsidRPr="00C606BD">
        <w:rPr>
          <w:spacing w:val="-17"/>
        </w:rPr>
        <w:t xml:space="preserve"> </w:t>
      </w:r>
      <w:r>
        <w:t>to</w:t>
      </w:r>
      <w:r w:rsidRPr="00C606BD">
        <w:rPr>
          <w:spacing w:val="-18"/>
        </w:rPr>
        <w:t xml:space="preserve"> </w:t>
      </w:r>
      <w:r>
        <w:t>the</w:t>
      </w:r>
      <w:r w:rsidRPr="00C606BD">
        <w:rPr>
          <w:spacing w:val="-14"/>
        </w:rPr>
        <w:t xml:space="preserve"> </w:t>
      </w:r>
      <w:r w:rsidR="00D00F21">
        <w:rPr>
          <w:spacing w:val="-4"/>
        </w:rPr>
        <w:t xml:space="preserve">Health, Communities, Disability Services </w:t>
      </w:r>
      <w:r w:rsidR="00D00F21">
        <w:t xml:space="preserve">and </w:t>
      </w:r>
      <w:r w:rsidR="00D00F21">
        <w:rPr>
          <w:spacing w:val="-4"/>
        </w:rPr>
        <w:t xml:space="preserve">Domestic </w:t>
      </w:r>
      <w:r w:rsidR="00D00F21">
        <w:rPr>
          <w:spacing w:val="-3"/>
        </w:rPr>
        <w:t xml:space="preserve">and </w:t>
      </w:r>
      <w:r w:rsidR="00D00F21">
        <w:rPr>
          <w:spacing w:val="-4"/>
        </w:rPr>
        <w:t xml:space="preserve">Family </w:t>
      </w:r>
      <w:r w:rsidR="00D00F21">
        <w:rPr>
          <w:spacing w:val="-3"/>
        </w:rPr>
        <w:t xml:space="preserve">Violence </w:t>
      </w:r>
      <w:r w:rsidR="00D00F21">
        <w:rPr>
          <w:spacing w:val="-4"/>
        </w:rPr>
        <w:t xml:space="preserve">Prevention Committee Report </w:t>
      </w:r>
      <w:r w:rsidR="00D00F21">
        <w:rPr>
          <w:spacing w:val="-3"/>
        </w:rPr>
        <w:t xml:space="preserve">No. 30, </w:t>
      </w:r>
      <w:r w:rsidR="00D00F21">
        <w:rPr>
          <w:spacing w:val="-4"/>
        </w:rPr>
        <w:t xml:space="preserve">November </w:t>
      </w:r>
      <w:r w:rsidR="00D00F21">
        <w:rPr>
          <w:spacing w:val="-3"/>
        </w:rPr>
        <w:t xml:space="preserve">2019 </w:t>
      </w:r>
      <w:r w:rsidR="00D00F21">
        <w:t xml:space="preserve">– </w:t>
      </w:r>
      <w:r w:rsidR="00D00F21">
        <w:rPr>
          <w:i/>
          <w:spacing w:val="-4"/>
        </w:rPr>
        <w:t xml:space="preserve">Investigation </w:t>
      </w:r>
      <w:r w:rsidR="00D00F21">
        <w:rPr>
          <w:i/>
          <w:spacing w:val="-3"/>
        </w:rPr>
        <w:t xml:space="preserve">of the closure of </w:t>
      </w:r>
      <w:r w:rsidR="00D00F21">
        <w:rPr>
          <w:i/>
          <w:spacing w:val="-4"/>
        </w:rPr>
        <w:t xml:space="preserve">Earle Haven residential </w:t>
      </w:r>
      <w:r w:rsidR="00D00F21">
        <w:rPr>
          <w:i/>
          <w:spacing w:val="-3"/>
        </w:rPr>
        <w:t xml:space="preserve">aged care </w:t>
      </w:r>
      <w:r w:rsidR="00D00F21">
        <w:rPr>
          <w:i/>
          <w:spacing w:val="-4"/>
        </w:rPr>
        <w:t xml:space="preserve">facility </w:t>
      </w:r>
      <w:r w:rsidR="00D00F21">
        <w:rPr>
          <w:i/>
          <w:spacing w:val="-3"/>
        </w:rPr>
        <w:t xml:space="preserve">at </w:t>
      </w:r>
      <w:r w:rsidR="00D00F21">
        <w:rPr>
          <w:i/>
          <w:spacing w:val="-4"/>
        </w:rPr>
        <w:t xml:space="preserve">Nerang (Inquiry </w:t>
      </w:r>
      <w:r w:rsidR="00D00F21">
        <w:rPr>
          <w:i/>
          <w:spacing w:val="-3"/>
        </w:rPr>
        <w:t xml:space="preserve">into aged </w:t>
      </w:r>
      <w:r w:rsidR="00D00F21">
        <w:rPr>
          <w:i/>
          <w:spacing w:val="-4"/>
        </w:rPr>
        <w:t>care, end-of-life</w:t>
      </w:r>
      <w:r w:rsidR="00D00F21">
        <w:rPr>
          <w:i/>
          <w:spacing w:val="53"/>
        </w:rPr>
        <w:t xml:space="preserve"> </w:t>
      </w:r>
      <w:r w:rsidR="00D00F21">
        <w:rPr>
          <w:i/>
        </w:rPr>
        <w:t xml:space="preserve">and </w:t>
      </w:r>
      <w:r w:rsidR="00D00F21">
        <w:rPr>
          <w:i/>
          <w:spacing w:val="-4"/>
        </w:rPr>
        <w:t xml:space="preserve">palliative </w:t>
      </w:r>
      <w:r w:rsidR="00D00F21">
        <w:rPr>
          <w:i/>
          <w:spacing w:val="-3"/>
        </w:rPr>
        <w:t xml:space="preserve">care </w:t>
      </w:r>
      <w:r w:rsidR="00D00F21">
        <w:rPr>
          <w:i/>
        </w:rPr>
        <w:t xml:space="preserve">and </w:t>
      </w:r>
      <w:r w:rsidR="00D00F21">
        <w:rPr>
          <w:i/>
          <w:spacing w:val="-4"/>
        </w:rPr>
        <w:t>voluntary assisted dying)</w:t>
      </w:r>
      <w:r w:rsidR="00A4615F">
        <w:t>, to</w:t>
      </w:r>
      <w:r w:rsidRPr="00C606BD">
        <w:rPr>
          <w:spacing w:val="-13"/>
        </w:rPr>
        <w:t xml:space="preserve"> </w:t>
      </w:r>
      <w:r>
        <w:t>be</w:t>
      </w:r>
      <w:r w:rsidRPr="00C606BD">
        <w:rPr>
          <w:spacing w:val="-18"/>
        </w:rPr>
        <w:t xml:space="preserve"> </w:t>
      </w:r>
      <w:r>
        <w:t>tabled</w:t>
      </w:r>
      <w:r w:rsidRPr="00C606BD">
        <w:rPr>
          <w:spacing w:val="-18"/>
        </w:rPr>
        <w:t xml:space="preserve"> </w:t>
      </w:r>
      <w:r>
        <w:t>in</w:t>
      </w:r>
      <w:r w:rsidRPr="00C606BD">
        <w:rPr>
          <w:spacing w:val="-16"/>
        </w:rPr>
        <w:t xml:space="preserve"> </w:t>
      </w:r>
      <w:r>
        <w:t>the</w:t>
      </w:r>
      <w:r w:rsidRPr="00C606BD">
        <w:rPr>
          <w:spacing w:val="-15"/>
        </w:rPr>
        <w:t xml:space="preserve"> </w:t>
      </w:r>
      <w:r>
        <w:t>Legislative Assembly.</w:t>
      </w:r>
    </w:p>
    <w:p w14:paraId="136E52AA" w14:textId="7B6F706A" w:rsidR="009E52FB" w:rsidRDefault="00C606BD" w:rsidP="00D85DF4">
      <w:pPr>
        <w:pStyle w:val="ListParagraph"/>
        <w:numPr>
          <w:ilvl w:val="0"/>
          <w:numId w:val="1"/>
        </w:numPr>
        <w:tabs>
          <w:tab w:val="left" w:pos="426"/>
        </w:tabs>
        <w:spacing w:before="201"/>
        <w:ind w:left="426" w:right="3" w:hanging="426"/>
        <w:jc w:val="both"/>
      </w:pPr>
      <w:r w:rsidRPr="00C606BD">
        <w:rPr>
          <w:u w:val="single"/>
        </w:rPr>
        <w:t>Cabinet</w:t>
      </w:r>
      <w:r w:rsidRPr="00C606BD">
        <w:rPr>
          <w:spacing w:val="1"/>
          <w:u w:val="single"/>
        </w:rPr>
        <w:t xml:space="preserve"> </w:t>
      </w:r>
      <w:r w:rsidRPr="00C606BD">
        <w:rPr>
          <w:u w:val="single"/>
        </w:rPr>
        <w:t>approved</w:t>
      </w:r>
      <w:r>
        <w:t xml:space="preserve"> </w:t>
      </w:r>
      <w:r w:rsidR="00E13567">
        <w:t>Queensland Government response to the recommendations made in the Independent Inquiry</w:t>
      </w:r>
      <w:r w:rsidR="00E13567" w:rsidRPr="00C606BD">
        <w:rPr>
          <w:spacing w:val="-12"/>
        </w:rPr>
        <w:t xml:space="preserve"> </w:t>
      </w:r>
      <w:r w:rsidR="00E13567">
        <w:t>into</w:t>
      </w:r>
      <w:r w:rsidR="00E13567" w:rsidRPr="00C606BD">
        <w:rPr>
          <w:spacing w:val="-9"/>
        </w:rPr>
        <w:t xml:space="preserve"> </w:t>
      </w:r>
      <w:r w:rsidR="00E13567">
        <w:t>the</w:t>
      </w:r>
      <w:r w:rsidR="00E13567" w:rsidRPr="00C606BD">
        <w:rPr>
          <w:spacing w:val="-11"/>
        </w:rPr>
        <w:t xml:space="preserve"> </w:t>
      </w:r>
      <w:r w:rsidR="00E13567">
        <w:t>events</w:t>
      </w:r>
      <w:r w:rsidR="00E13567" w:rsidRPr="00C606BD">
        <w:rPr>
          <w:spacing w:val="-8"/>
        </w:rPr>
        <w:t xml:space="preserve"> </w:t>
      </w:r>
      <w:r w:rsidR="00E13567">
        <w:t>at</w:t>
      </w:r>
      <w:r w:rsidR="00E13567" w:rsidRPr="00C606BD">
        <w:rPr>
          <w:spacing w:val="-12"/>
        </w:rPr>
        <w:t xml:space="preserve"> </w:t>
      </w:r>
      <w:r w:rsidR="00E13567">
        <w:t>Earle</w:t>
      </w:r>
      <w:r w:rsidR="00E13567" w:rsidRPr="00C606BD">
        <w:rPr>
          <w:spacing w:val="-9"/>
        </w:rPr>
        <w:t xml:space="preserve"> </w:t>
      </w:r>
      <w:r w:rsidR="00E13567">
        <w:t>Haven</w:t>
      </w:r>
      <w:r w:rsidR="00E13567" w:rsidRPr="00C606BD">
        <w:rPr>
          <w:spacing w:val="-9"/>
        </w:rPr>
        <w:t xml:space="preserve"> </w:t>
      </w:r>
      <w:r w:rsidR="00E13567">
        <w:t>Report</w:t>
      </w:r>
      <w:r w:rsidR="00E13567" w:rsidRPr="00C606BD">
        <w:rPr>
          <w:spacing w:val="-7"/>
        </w:rPr>
        <w:t xml:space="preserve"> </w:t>
      </w:r>
      <w:r w:rsidR="00E13567">
        <w:t>(Carnell</w:t>
      </w:r>
      <w:r w:rsidR="00E13567" w:rsidRPr="00C606BD">
        <w:rPr>
          <w:spacing w:val="-9"/>
        </w:rPr>
        <w:t xml:space="preserve"> </w:t>
      </w:r>
      <w:r w:rsidR="00E13567">
        <w:t>Report)</w:t>
      </w:r>
      <w:r w:rsidR="00E13567" w:rsidRPr="00C606BD">
        <w:rPr>
          <w:spacing w:val="-10"/>
        </w:rPr>
        <w:t xml:space="preserve"> </w:t>
      </w:r>
      <w:r w:rsidR="00E13567">
        <w:t>to</w:t>
      </w:r>
      <w:r w:rsidR="00E13567" w:rsidRPr="00C606BD">
        <w:rPr>
          <w:spacing w:val="-10"/>
        </w:rPr>
        <w:t xml:space="preserve"> </w:t>
      </w:r>
      <w:r w:rsidR="00E13567">
        <w:t>be</w:t>
      </w:r>
      <w:r w:rsidR="00E13567" w:rsidRPr="00C606BD">
        <w:rPr>
          <w:spacing w:val="-11"/>
        </w:rPr>
        <w:t xml:space="preserve"> </w:t>
      </w:r>
      <w:r w:rsidR="00E13567">
        <w:t>tabled</w:t>
      </w:r>
      <w:r w:rsidR="00E13567" w:rsidRPr="00C606BD">
        <w:rPr>
          <w:spacing w:val="-9"/>
        </w:rPr>
        <w:t xml:space="preserve"> </w:t>
      </w:r>
      <w:r w:rsidR="00E13567">
        <w:t>in</w:t>
      </w:r>
      <w:r w:rsidR="00E13567" w:rsidRPr="00C606BD">
        <w:rPr>
          <w:spacing w:val="-9"/>
        </w:rPr>
        <w:t xml:space="preserve"> </w:t>
      </w:r>
      <w:r w:rsidR="00E13567">
        <w:t>the</w:t>
      </w:r>
      <w:r w:rsidR="00E13567" w:rsidRPr="00C606BD">
        <w:rPr>
          <w:spacing w:val="-9"/>
        </w:rPr>
        <w:t xml:space="preserve"> </w:t>
      </w:r>
      <w:r w:rsidR="00E13567">
        <w:t>Legislative Assembly.</w:t>
      </w:r>
    </w:p>
    <w:p w14:paraId="136E52AB" w14:textId="58308B5E" w:rsidR="009E52FB" w:rsidRDefault="00E13567" w:rsidP="00D85DF4">
      <w:pPr>
        <w:pStyle w:val="ListParagraph"/>
        <w:numPr>
          <w:ilvl w:val="0"/>
          <w:numId w:val="1"/>
        </w:numPr>
        <w:tabs>
          <w:tab w:val="left" w:pos="426"/>
        </w:tabs>
        <w:spacing w:before="201"/>
        <w:ind w:left="426" w:right="3" w:hanging="426"/>
        <w:jc w:val="both"/>
      </w:pPr>
      <w:r w:rsidRPr="00730428">
        <w:rPr>
          <w:u w:val="single"/>
        </w:rPr>
        <w:t>Cabinet noted</w:t>
      </w:r>
      <w:r>
        <w:t xml:space="preserve"> the Queensland Government response to the Commonwealth’s Independent Report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i/>
        </w:rPr>
        <w:t>Inquiry</w:t>
      </w:r>
      <w:r>
        <w:rPr>
          <w:i/>
          <w:spacing w:val="-7"/>
        </w:rPr>
        <w:t xml:space="preserve"> </w:t>
      </w:r>
      <w:r>
        <w:rPr>
          <w:i/>
        </w:rPr>
        <w:t>into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events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Earle</w:t>
      </w:r>
      <w:r>
        <w:rPr>
          <w:i/>
          <w:spacing w:val="-5"/>
        </w:rPr>
        <w:t xml:space="preserve"> </w:t>
      </w:r>
      <w:r>
        <w:rPr>
          <w:i/>
        </w:rPr>
        <w:t>Haven</w:t>
      </w:r>
      <w:r>
        <w:rPr>
          <w:i/>
          <w:spacing w:val="-6"/>
        </w:rPr>
        <w:t xml:space="preserve"> </w:t>
      </w:r>
      <w:r w:rsidR="00643F33">
        <w:t>would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forwarded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Aged Care and Senior Australians following tabling in the Legislative</w:t>
      </w:r>
      <w:r>
        <w:rPr>
          <w:spacing w:val="-37"/>
        </w:rPr>
        <w:t xml:space="preserve"> </w:t>
      </w:r>
      <w:r>
        <w:t>Assembly.</w:t>
      </w:r>
    </w:p>
    <w:p w14:paraId="136E52AC" w14:textId="61D9CCAF" w:rsidR="009E52FB" w:rsidRDefault="00E13567" w:rsidP="006B41C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jc w:val="both"/>
        <w:rPr>
          <w:i/>
        </w:rPr>
      </w:pPr>
      <w:r>
        <w:rPr>
          <w:i/>
          <w:u w:val="single"/>
        </w:rPr>
        <w:t>Attachments</w:t>
      </w:r>
    </w:p>
    <w:p w14:paraId="136E52AD" w14:textId="4CC6EAD6" w:rsidR="009E52FB" w:rsidRDefault="001217C1" w:rsidP="006B41C0">
      <w:pPr>
        <w:pStyle w:val="ListParagraph"/>
        <w:numPr>
          <w:ilvl w:val="1"/>
          <w:numId w:val="1"/>
        </w:numPr>
        <w:tabs>
          <w:tab w:val="left" w:pos="851"/>
        </w:tabs>
        <w:spacing w:before="60" w:line="237" w:lineRule="auto"/>
        <w:ind w:left="851" w:right="3" w:hanging="426"/>
      </w:pPr>
      <w:hyperlink r:id="rId10" w:history="1">
        <w:r w:rsidR="00E13567" w:rsidRPr="00C03896">
          <w:rPr>
            <w:rStyle w:val="Hyperlink"/>
          </w:rPr>
          <w:t xml:space="preserve">Health, Communities, Disability Services and Domestic and Family Violence Prevention Committee: Report No. 30, November 2019 – </w:t>
        </w:r>
        <w:r w:rsidR="00E13567" w:rsidRPr="00C03896">
          <w:rPr>
            <w:rStyle w:val="Hyperlink"/>
            <w:i/>
          </w:rPr>
          <w:t>Investigation of the closure of Earle Haven residential aged care facility at Nerang (Inquiry into aged care, end-of-life and palliative care and voluntary assisted</w:t>
        </w:r>
        <w:r w:rsidR="00E13567" w:rsidRPr="00C03896">
          <w:rPr>
            <w:rStyle w:val="Hyperlink"/>
            <w:i/>
            <w:spacing w:val="-15"/>
          </w:rPr>
          <w:t xml:space="preserve"> </w:t>
        </w:r>
        <w:r w:rsidR="00E13567" w:rsidRPr="00C03896">
          <w:rPr>
            <w:rStyle w:val="Hyperlink"/>
            <w:i/>
          </w:rPr>
          <w:t>dying)</w:t>
        </w:r>
      </w:hyperlink>
    </w:p>
    <w:p w14:paraId="612F5F29" w14:textId="4E92AE4B" w:rsidR="002004EA" w:rsidRDefault="001217C1" w:rsidP="006B41C0">
      <w:pPr>
        <w:pStyle w:val="ListParagraph"/>
        <w:numPr>
          <w:ilvl w:val="1"/>
          <w:numId w:val="1"/>
        </w:numPr>
        <w:tabs>
          <w:tab w:val="left" w:pos="851"/>
        </w:tabs>
        <w:spacing w:before="60" w:line="237" w:lineRule="auto"/>
        <w:ind w:left="851" w:right="3" w:hanging="426"/>
      </w:pPr>
      <w:hyperlink r:id="rId11" w:history="1">
        <w:r w:rsidR="002004EA" w:rsidRPr="00C03896">
          <w:rPr>
            <w:rStyle w:val="Hyperlink"/>
          </w:rPr>
          <w:t>Queensland Government response to the</w:t>
        </w:r>
        <w:r w:rsidR="00BA41D2" w:rsidRPr="00C03896">
          <w:rPr>
            <w:rStyle w:val="Hyperlink"/>
          </w:rPr>
          <w:t xml:space="preserve"> Committee</w:t>
        </w:r>
        <w:r w:rsidR="002004EA" w:rsidRPr="00C03896">
          <w:rPr>
            <w:rStyle w:val="Hyperlink"/>
          </w:rPr>
          <w:t xml:space="preserve"> Report</w:t>
        </w:r>
      </w:hyperlink>
      <w:r w:rsidR="002004EA">
        <w:t xml:space="preserve"> </w:t>
      </w:r>
    </w:p>
    <w:p w14:paraId="136E52AE" w14:textId="158F0794" w:rsidR="009E52FB" w:rsidRDefault="001217C1" w:rsidP="006B41C0">
      <w:pPr>
        <w:pStyle w:val="ListParagraph"/>
        <w:numPr>
          <w:ilvl w:val="1"/>
          <w:numId w:val="1"/>
        </w:numPr>
        <w:tabs>
          <w:tab w:val="left" w:pos="851"/>
        </w:tabs>
        <w:spacing w:before="60" w:line="237" w:lineRule="auto"/>
        <w:ind w:left="851" w:right="3" w:hanging="426"/>
      </w:pPr>
      <w:hyperlink r:id="rId12" w:history="1">
        <w:r w:rsidR="00E13567" w:rsidRPr="00C03896">
          <w:rPr>
            <w:rStyle w:val="Hyperlink"/>
          </w:rPr>
          <w:t>Commonwealth</w:t>
        </w:r>
        <w:r w:rsidR="00E13567" w:rsidRPr="00C03896">
          <w:rPr>
            <w:rStyle w:val="Hyperlink"/>
            <w:spacing w:val="-15"/>
          </w:rPr>
          <w:t xml:space="preserve"> </w:t>
        </w:r>
        <w:r w:rsidR="00E13567" w:rsidRPr="00C03896">
          <w:rPr>
            <w:rStyle w:val="Hyperlink"/>
          </w:rPr>
          <w:t>Independent</w:t>
        </w:r>
        <w:r w:rsidR="00E13567" w:rsidRPr="00C03896">
          <w:rPr>
            <w:rStyle w:val="Hyperlink"/>
            <w:spacing w:val="-14"/>
          </w:rPr>
          <w:t xml:space="preserve"> </w:t>
        </w:r>
        <w:r w:rsidR="00E13567" w:rsidRPr="00C03896">
          <w:rPr>
            <w:rStyle w:val="Hyperlink"/>
          </w:rPr>
          <w:t>Report</w:t>
        </w:r>
        <w:r w:rsidR="00E13567" w:rsidRPr="00C03896">
          <w:rPr>
            <w:rStyle w:val="Hyperlink"/>
            <w:spacing w:val="-15"/>
          </w:rPr>
          <w:t xml:space="preserve"> </w:t>
        </w:r>
        <w:r w:rsidR="00E13567" w:rsidRPr="00C03896">
          <w:rPr>
            <w:rStyle w:val="Hyperlink"/>
          </w:rPr>
          <w:t>–</w:t>
        </w:r>
        <w:r w:rsidR="00E13567" w:rsidRPr="00C03896">
          <w:rPr>
            <w:rStyle w:val="Hyperlink"/>
            <w:spacing w:val="-17"/>
          </w:rPr>
          <w:t xml:space="preserve"> </w:t>
        </w:r>
        <w:r w:rsidR="00E13567" w:rsidRPr="00C03896">
          <w:rPr>
            <w:rStyle w:val="Hyperlink"/>
            <w:i/>
          </w:rPr>
          <w:t>Inquiry</w:t>
        </w:r>
        <w:r w:rsidR="00E13567" w:rsidRPr="00C03896">
          <w:rPr>
            <w:rStyle w:val="Hyperlink"/>
            <w:i/>
            <w:spacing w:val="-16"/>
          </w:rPr>
          <w:t xml:space="preserve"> </w:t>
        </w:r>
        <w:r w:rsidR="00E13567" w:rsidRPr="00C03896">
          <w:rPr>
            <w:rStyle w:val="Hyperlink"/>
            <w:i/>
          </w:rPr>
          <w:t xml:space="preserve">into events at Earle Haven </w:t>
        </w:r>
        <w:r w:rsidR="00E13567" w:rsidRPr="00C03896">
          <w:rPr>
            <w:rStyle w:val="Hyperlink"/>
          </w:rPr>
          <w:t>provided to the Federal Minister for Aged Care and Senior Australians</w:t>
        </w:r>
      </w:hyperlink>
    </w:p>
    <w:p w14:paraId="2A726EAC" w14:textId="3DE73F02" w:rsidR="00BA41D2" w:rsidRDefault="001217C1" w:rsidP="006B41C0">
      <w:pPr>
        <w:pStyle w:val="ListParagraph"/>
        <w:numPr>
          <w:ilvl w:val="1"/>
          <w:numId w:val="1"/>
        </w:numPr>
        <w:tabs>
          <w:tab w:val="left" w:pos="851"/>
        </w:tabs>
        <w:spacing w:before="60" w:line="237" w:lineRule="auto"/>
        <w:ind w:left="851" w:right="3" w:hanging="426"/>
      </w:pPr>
      <w:hyperlink r:id="rId13" w:history="1">
        <w:r w:rsidR="00BA41D2" w:rsidRPr="00C03896">
          <w:rPr>
            <w:rStyle w:val="Hyperlink"/>
          </w:rPr>
          <w:t>Queensland</w:t>
        </w:r>
        <w:r w:rsidR="00BA41D2" w:rsidRPr="00C03896">
          <w:rPr>
            <w:rStyle w:val="Hyperlink"/>
            <w:spacing w:val="-17"/>
          </w:rPr>
          <w:t xml:space="preserve"> </w:t>
        </w:r>
        <w:r w:rsidR="00BA41D2" w:rsidRPr="00C03896">
          <w:rPr>
            <w:rStyle w:val="Hyperlink"/>
          </w:rPr>
          <w:t>Government</w:t>
        </w:r>
        <w:r w:rsidR="00BA41D2" w:rsidRPr="00C03896">
          <w:rPr>
            <w:rStyle w:val="Hyperlink"/>
            <w:spacing w:val="-16"/>
          </w:rPr>
          <w:t xml:space="preserve"> </w:t>
        </w:r>
        <w:r w:rsidR="00BA41D2" w:rsidRPr="00C03896">
          <w:rPr>
            <w:rStyle w:val="Hyperlink"/>
          </w:rPr>
          <w:t>response</w:t>
        </w:r>
        <w:r w:rsidR="00BA41D2" w:rsidRPr="00C03896">
          <w:rPr>
            <w:rStyle w:val="Hyperlink"/>
            <w:spacing w:val="-16"/>
          </w:rPr>
          <w:t xml:space="preserve"> </w:t>
        </w:r>
        <w:r w:rsidR="00BA41D2" w:rsidRPr="00C03896">
          <w:rPr>
            <w:rStyle w:val="Hyperlink"/>
          </w:rPr>
          <w:t>to</w:t>
        </w:r>
        <w:r w:rsidR="00BA41D2" w:rsidRPr="00C03896">
          <w:rPr>
            <w:rStyle w:val="Hyperlink"/>
            <w:spacing w:val="-17"/>
          </w:rPr>
          <w:t xml:space="preserve"> </w:t>
        </w:r>
        <w:r w:rsidR="00BA41D2" w:rsidRPr="00C03896">
          <w:rPr>
            <w:rStyle w:val="Hyperlink"/>
          </w:rPr>
          <w:t>the Commonwealth Report</w:t>
        </w:r>
      </w:hyperlink>
    </w:p>
    <w:sectPr w:rsidR="00BA41D2" w:rsidSect="006B41C0">
      <w:headerReference w:type="default" r:id="rId14"/>
      <w:type w:val="continuous"/>
      <w:pgSz w:w="11910" w:h="16840" w:code="9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8F8B1" w14:textId="77777777" w:rsidR="00150530" w:rsidRDefault="00150530" w:rsidP="00322110">
      <w:r>
        <w:separator/>
      </w:r>
    </w:p>
  </w:endnote>
  <w:endnote w:type="continuationSeparator" w:id="0">
    <w:p w14:paraId="41289ACC" w14:textId="77777777" w:rsidR="00150530" w:rsidRDefault="00150530" w:rsidP="0032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83DC0" w14:textId="77777777" w:rsidR="00150530" w:rsidRDefault="00150530" w:rsidP="00322110">
      <w:r>
        <w:separator/>
      </w:r>
    </w:p>
  </w:footnote>
  <w:footnote w:type="continuationSeparator" w:id="0">
    <w:p w14:paraId="69035CCC" w14:textId="77777777" w:rsidR="00150530" w:rsidRDefault="00150530" w:rsidP="0032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0B72" w14:textId="77777777" w:rsidR="00322110" w:rsidRPr="00937A4A" w:rsidRDefault="00322110" w:rsidP="0032211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FEFFDAF" w14:textId="77777777" w:rsidR="00322110" w:rsidRPr="00937A4A" w:rsidRDefault="00322110" w:rsidP="0032211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4E42AA5" w14:textId="01A08976" w:rsidR="00322110" w:rsidRPr="00937A4A" w:rsidRDefault="00322110" w:rsidP="0032211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767B15">
      <w:rPr>
        <w:b/>
      </w:rPr>
      <w:t>February 2020</w:t>
    </w:r>
  </w:p>
  <w:p w14:paraId="3044D063" w14:textId="6040C39C" w:rsidR="00322110" w:rsidRDefault="00767B15" w:rsidP="00322110">
    <w:pPr>
      <w:pStyle w:val="Header"/>
      <w:spacing w:before="120"/>
      <w:rPr>
        <w:b/>
        <w:u w:val="single"/>
      </w:rPr>
    </w:pPr>
    <w:r>
      <w:rPr>
        <w:b/>
        <w:u w:val="single"/>
      </w:rPr>
      <w:t>Government response</w:t>
    </w:r>
    <w:r w:rsidR="001D027B">
      <w:rPr>
        <w:b/>
        <w:u w:val="single"/>
      </w:rPr>
      <w:t>s</w:t>
    </w:r>
    <w:r>
      <w:rPr>
        <w:b/>
        <w:u w:val="single"/>
      </w:rPr>
      <w:t xml:space="preserve"> to the Health, Communities, Disability Services and Domestic and Family Violence Prevention Committee: Report No. 30 N</w:t>
    </w:r>
    <w:r w:rsidR="006E6D23">
      <w:rPr>
        <w:b/>
        <w:u w:val="single"/>
      </w:rPr>
      <w:t xml:space="preserve">ovember 2019 – Investigation of the closure of Earle Haven residential aged care facility at Nerang (Inquiry into aged care, end-of-life and palliative care and voluntary assisted dying) and </w:t>
    </w:r>
    <w:r w:rsidR="001D027B">
      <w:rPr>
        <w:b/>
        <w:u w:val="single"/>
      </w:rPr>
      <w:t xml:space="preserve">to </w:t>
    </w:r>
    <w:r w:rsidR="006E6D23">
      <w:rPr>
        <w:b/>
        <w:u w:val="single"/>
      </w:rPr>
      <w:t>the Australian Government’s Independent Inquiry Report – Inquiry into events at Earle Haven</w:t>
    </w:r>
  </w:p>
  <w:p w14:paraId="5AFB34A3" w14:textId="69F15EAB" w:rsidR="00322110" w:rsidRDefault="00322110" w:rsidP="00322110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C90538">
      <w:rPr>
        <w:b/>
        <w:u w:val="single"/>
      </w:rPr>
      <w:t xml:space="preserve"> for Health and Minister for Ambulance Services</w:t>
    </w:r>
  </w:p>
  <w:p w14:paraId="721F46C6" w14:textId="77777777" w:rsidR="00322110" w:rsidRDefault="00322110" w:rsidP="0032211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12B8"/>
    <w:multiLevelType w:val="hybridMultilevel"/>
    <w:tmpl w:val="64A2F900"/>
    <w:lvl w:ilvl="0" w:tplc="32E61954">
      <w:start w:val="1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</w:rPr>
    </w:lvl>
    <w:lvl w:ilvl="1" w:tplc="FCBC6512">
      <w:numFmt w:val="bullet"/>
      <w:lvlText w:val=""/>
      <w:lvlJc w:val="left"/>
      <w:pPr>
        <w:ind w:left="1044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D43A6BC4">
      <w:numFmt w:val="bullet"/>
      <w:lvlText w:val="•"/>
      <w:lvlJc w:val="left"/>
      <w:pPr>
        <w:ind w:left="2045" w:hanging="454"/>
      </w:pPr>
      <w:rPr>
        <w:rFonts w:hint="default"/>
      </w:rPr>
    </w:lvl>
    <w:lvl w:ilvl="3" w:tplc="D2C0910E">
      <w:numFmt w:val="bullet"/>
      <w:lvlText w:val="•"/>
      <w:lvlJc w:val="left"/>
      <w:pPr>
        <w:ind w:left="3050" w:hanging="454"/>
      </w:pPr>
      <w:rPr>
        <w:rFonts w:hint="default"/>
      </w:rPr>
    </w:lvl>
    <w:lvl w:ilvl="4" w:tplc="3E721026">
      <w:numFmt w:val="bullet"/>
      <w:lvlText w:val="•"/>
      <w:lvlJc w:val="left"/>
      <w:pPr>
        <w:ind w:left="4055" w:hanging="454"/>
      </w:pPr>
      <w:rPr>
        <w:rFonts w:hint="default"/>
      </w:rPr>
    </w:lvl>
    <w:lvl w:ilvl="5" w:tplc="CDF60DE8">
      <w:numFmt w:val="bullet"/>
      <w:lvlText w:val="•"/>
      <w:lvlJc w:val="left"/>
      <w:pPr>
        <w:ind w:left="5060" w:hanging="454"/>
      </w:pPr>
      <w:rPr>
        <w:rFonts w:hint="default"/>
      </w:rPr>
    </w:lvl>
    <w:lvl w:ilvl="6" w:tplc="C3F8AFF6">
      <w:numFmt w:val="bullet"/>
      <w:lvlText w:val="•"/>
      <w:lvlJc w:val="left"/>
      <w:pPr>
        <w:ind w:left="6065" w:hanging="454"/>
      </w:pPr>
      <w:rPr>
        <w:rFonts w:hint="default"/>
      </w:rPr>
    </w:lvl>
    <w:lvl w:ilvl="7" w:tplc="0EA88920">
      <w:numFmt w:val="bullet"/>
      <w:lvlText w:val="•"/>
      <w:lvlJc w:val="left"/>
      <w:pPr>
        <w:ind w:left="7070" w:hanging="454"/>
      </w:pPr>
      <w:rPr>
        <w:rFonts w:hint="default"/>
      </w:rPr>
    </w:lvl>
    <w:lvl w:ilvl="8" w:tplc="0A34AB3C">
      <w:numFmt w:val="bullet"/>
      <w:lvlText w:val="•"/>
      <w:lvlJc w:val="left"/>
      <w:pPr>
        <w:ind w:left="8076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FB"/>
    <w:rsid w:val="00051767"/>
    <w:rsid w:val="000E6335"/>
    <w:rsid w:val="001217C1"/>
    <w:rsid w:val="00150530"/>
    <w:rsid w:val="001C431F"/>
    <w:rsid w:val="001D027B"/>
    <w:rsid w:val="002004EA"/>
    <w:rsid w:val="00322110"/>
    <w:rsid w:val="00643F33"/>
    <w:rsid w:val="006B41C0"/>
    <w:rsid w:val="006E6D23"/>
    <w:rsid w:val="00730428"/>
    <w:rsid w:val="00767B15"/>
    <w:rsid w:val="007C24D6"/>
    <w:rsid w:val="007E22BA"/>
    <w:rsid w:val="00976AD2"/>
    <w:rsid w:val="009E52FB"/>
    <w:rsid w:val="00A4615F"/>
    <w:rsid w:val="00BA41D2"/>
    <w:rsid w:val="00BF6B47"/>
    <w:rsid w:val="00C03896"/>
    <w:rsid w:val="00C606BD"/>
    <w:rsid w:val="00C90538"/>
    <w:rsid w:val="00CB0F07"/>
    <w:rsid w:val="00D00F21"/>
    <w:rsid w:val="00D85DF4"/>
    <w:rsid w:val="00E13567"/>
    <w:rsid w:val="00E45184"/>
    <w:rsid w:val="00E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5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3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32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0"/>
      <w:ind w:left="592" w:hanging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1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2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11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0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esponseIn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IndRepor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3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Report3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0FB49-F0E2-4B68-A9CF-24BAE951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02DB2-0096-4A8D-9085-23968F31C0F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3e311de-a790-43ff-be63-577c26c7507c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C95798-6B67-490A-929F-AEA19295E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432</Words>
  <Characters>2579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Base>https://www.cabinet.qld.gov.au/documents/2020/Feb/RespEH/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cp:lastPrinted>2020-07-20T05:39:00Z</cp:lastPrinted>
  <dcterms:created xsi:type="dcterms:W3CDTF">2020-02-06T08:04:00Z</dcterms:created>
  <dcterms:modified xsi:type="dcterms:W3CDTF">2020-09-22T23:07:00Z</dcterms:modified>
  <cp:category>Aged_Care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0x010100DDE14CFDD070B24F85F5DE43654FF01E</vt:lpwstr>
  </property>
</Properties>
</file>